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201</w:t>
      </w:r>
      <w:r w:rsidR="002669E2">
        <w:rPr>
          <w:rFonts w:ascii="Calibri" w:hAnsi="Calibri" w:cs="Calibri"/>
          <w:b/>
          <w:sz w:val="22"/>
          <w:szCs w:val="22"/>
        </w:rPr>
        <w:t>9</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w:t>
      </w:r>
      <w:bookmarkStart w:id="0" w:name="_GoBack"/>
      <w:bookmarkEnd w:id="0"/>
      <w:r w:rsidR="00245F15">
        <w:rPr>
          <w:rFonts w:ascii="Calibri" w:hAnsi="Calibri" w:cs="Calibri"/>
          <w:sz w:val="22"/>
          <w:szCs w:val="22"/>
        </w:rPr>
        <w:t xml:space="preserve">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2669E2">
        <w:rPr>
          <w:rFonts w:ascii="Calibri" w:hAnsi="Calibri" w:cs="Calibri"/>
          <w:b/>
          <w:sz w:val="22"/>
          <w:szCs w:val="22"/>
          <w:u w:val="single"/>
        </w:rPr>
        <w:t>14</w:t>
      </w:r>
      <w:r w:rsidR="00D32A12">
        <w:rPr>
          <w:rFonts w:ascii="Calibri" w:hAnsi="Calibri" w:cs="Calibri"/>
          <w:b/>
          <w:sz w:val="22"/>
          <w:szCs w:val="22"/>
          <w:u w:val="single"/>
        </w:rPr>
        <w:t>, 201</w:t>
      </w:r>
      <w:r w:rsidR="002669E2">
        <w:rPr>
          <w:rFonts w:ascii="Calibri" w:hAnsi="Calibri" w:cs="Calibri"/>
          <w:b/>
          <w:sz w:val="22"/>
          <w:szCs w:val="22"/>
          <w:u w:val="single"/>
        </w:rPr>
        <w:t>9</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2669E2">
        <w:rPr>
          <w:rFonts w:ascii="Calibri" w:hAnsi="Calibri" w:cs="Calibri"/>
          <w:b/>
          <w:sz w:val="22"/>
          <w:szCs w:val="22"/>
          <w:u w:val="single"/>
        </w:rPr>
        <w:t>2</w:t>
      </w:r>
      <w:r w:rsidR="00D32A12">
        <w:rPr>
          <w:rFonts w:ascii="Calibri" w:hAnsi="Calibri" w:cs="Calibri"/>
          <w:b/>
          <w:sz w:val="22"/>
          <w:szCs w:val="22"/>
          <w:u w:val="single"/>
        </w:rPr>
        <w:t>, 201</w:t>
      </w:r>
      <w:r w:rsidR="002669E2">
        <w:rPr>
          <w:rFonts w:ascii="Calibri" w:hAnsi="Calibri" w:cs="Calibri"/>
          <w:b/>
          <w:sz w:val="22"/>
          <w:szCs w:val="22"/>
          <w:u w:val="single"/>
        </w:rPr>
        <w:t>9</w:t>
      </w:r>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The description may also include a statement about why this individual is suitable to evaluate the 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 xml:space="preserve">not be the final packet, but will contain available information about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43" w:rsidRDefault="00CF6A43">
      <w:r>
        <w:separator/>
      </w:r>
    </w:p>
  </w:endnote>
  <w:endnote w:type="continuationSeparator" w:id="0">
    <w:p w:rsidR="00CF6A43" w:rsidRDefault="00C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43" w:rsidRDefault="00CF6A43">
      <w:r>
        <w:separator/>
      </w:r>
    </w:p>
  </w:footnote>
  <w:footnote w:type="continuationSeparator" w:id="0">
    <w:p w:rsidR="00CF6A43" w:rsidRDefault="00CF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6"/>
    <w:rsid w:val="00042EF1"/>
    <w:rsid w:val="000A2C32"/>
    <w:rsid w:val="000A680B"/>
    <w:rsid w:val="000B08E7"/>
    <w:rsid w:val="000E7203"/>
    <w:rsid w:val="0012227F"/>
    <w:rsid w:val="00125D06"/>
    <w:rsid w:val="00131A25"/>
    <w:rsid w:val="00156ED4"/>
    <w:rsid w:val="00162E95"/>
    <w:rsid w:val="00192606"/>
    <w:rsid w:val="001C40D3"/>
    <w:rsid w:val="001F7386"/>
    <w:rsid w:val="00223378"/>
    <w:rsid w:val="00226E9F"/>
    <w:rsid w:val="0023291C"/>
    <w:rsid w:val="00244B9F"/>
    <w:rsid w:val="00245F15"/>
    <w:rsid w:val="002669E2"/>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B2C2B"/>
    <w:rsid w:val="007E064D"/>
    <w:rsid w:val="007F162F"/>
    <w:rsid w:val="0080168A"/>
    <w:rsid w:val="0080216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BD7A2F"/>
    <w:rsid w:val="00C464DF"/>
    <w:rsid w:val="00C63BD9"/>
    <w:rsid w:val="00C77844"/>
    <w:rsid w:val="00C9145B"/>
    <w:rsid w:val="00CB277D"/>
    <w:rsid w:val="00CF38D2"/>
    <w:rsid w:val="00CF6A43"/>
    <w:rsid w:val="00D021E2"/>
    <w:rsid w:val="00D27EB1"/>
    <w:rsid w:val="00D32A12"/>
    <w:rsid w:val="00D678A9"/>
    <w:rsid w:val="00D90904"/>
    <w:rsid w:val="00DA456A"/>
    <w:rsid w:val="00DE751F"/>
    <w:rsid w:val="00E05D81"/>
    <w:rsid w:val="00E20031"/>
    <w:rsid w:val="00E339DD"/>
    <w:rsid w:val="00E47997"/>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782C4"/>
  <w15:docId w15:val="{D11F7E29-3B95-4723-B33B-2C45739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2</cp:revision>
  <cp:lastPrinted>2010-03-08T19:16:00Z</cp:lastPrinted>
  <dcterms:created xsi:type="dcterms:W3CDTF">2019-06-06T11:09:00Z</dcterms:created>
  <dcterms:modified xsi:type="dcterms:W3CDTF">2019-06-06T11:09:00Z</dcterms:modified>
</cp:coreProperties>
</file>